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lang w:val="ar-SA" w:bidi="ar-SA"/>
          <w:rtl w:val="1"/>
        </w:rPr>
        <w:t>التحقق من المصادر قبل الاستشهاد بها</w:t>
      </w:r>
    </w:p>
    <w:p>
      <w:pPr>
        <w:spacing w:after="240"/>
        <w:jc w:val="right"/>
      </w:pPr>
      <w:r>
        <w:rPr>
          <w:sz w:val="18"/>
        </w:rPr>
        <w:t>ZAKNOR · العربية · 2026-10-09</w:t>
      </w:r>
    </w:p>
    <w:p>
      <w:pPr>
        <w:pStyle w:val="Heading1"/>
        <w:bidi w:val="1"/>
        <w:jc w:val="start"/>
      </w:pPr>
      <w:r>
        <w:rPr>
          <w:lang w:val="ar-SA" w:bidi="ar-SA"/>
          <w:rtl w:val="1"/>
        </w:rPr>
        <w:t>ملخص</w:t>
      </w:r>
    </w:p>
    <w:p>
      <w:pPr>
        <w:bidi w:val="1"/>
        <w:jc w:val="start"/>
      </w:pPr>
      <w:r>
        <w:rPr>
          <w:lang w:val="ar-SA" w:bidi="ar-SA"/>
          <w:rtl w:val="1"/>
        </w:rPr>
        <w:t>يساعد الرابط الذي يعمل القارئ على الوصول إلى المصدر، لكنه لا يثبت أن المصدر يدعم الادعاء. تقترح هذه المسودة المنهجية القصيرة ثلاث خطوات قبل إدراج مرجع في البحث.</w:t>
      </w:r>
    </w:p>
    <w:p>
      <w:pPr>
        <w:pStyle w:val="Heading1"/>
        <w:bidi w:val="1"/>
        <w:jc w:val="start"/>
      </w:pPr>
      <w:r>
        <w:rPr>
          <w:lang w:val="ar-SA" w:bidi="ar-SA"/>
          <w:rtl w:val="1"/>
        </w:rPr>
        <w:t>المنهج</w:t>
      </w:r>
    </w:p>
    <w:p>
      <w:pPr>
        <w:bidi w:val="1"/>
        <w:jc w:val="start"/>
      </w:pPr>
      <w:r>
        <w:rPr>
          <w:lang w:val="ar-SA" w:bidi="ar-SA"/>
          <w:rtl w:val="1"/>
        </w:rPr>
        <w:t>راجعنا إرشادات عامة منشورة لدى Crossref وDOAJ. هذه مذكرة وصفية، وليست تجربة أو مراجعة منهجية شاملة. ومسار العمل المقترح استنتاج عملي من تلك الإرشادات.</w:t>
      </w:r>
    </w:p>
    <w:p>
      <w:pPr>
        <w:pStyle w:val="Heading1"/>
        <w:bidi w:val="1"/>
        <w:jc w:val="start"/>
      </w:pPr>
      <w:r>
        <w:rPr>
          <w:lang w:val="ar-SA" w:bidi="ar-SA"/>
          <w:rtl w:val="1"/>
        </w:rPr>
        <w:t>ثلاث خطوات للتحقق</w:t>
      </w:r>
    </w:p>
    <w:p>
      <w:pPr>
        <w:bidi w:val="1"/>
        <w:jc w:val="start"/>
      </w:pPr>
      <w:r>
        <w:rPr>
          <w:lang w:val="ar-SA" w:bidi="ar-SA"/>
          <w:rtl w:val="1"/>
        </w:rPr>
        <w:t>أولًا، طابق العنوان والمؤلفين وبيانات النشر مع صفحة الناشر. تتيح Crossref بيانات ببليوغرافية للأعمال المسجلة. تحقّق من الاختلافات بدل إكمال البيانات الناقصة بالتخمين. [1]</w:t>
      </w:r>
    </w:p>
    <w:p>
      <w:pPr>
        <w:bidi w:val="1"/>
        <w:jc w:val="start"/>
      </w:pPr>
      <w:r>
        <w:rPr>
          <w:lang w:val="ar-SA" w:bidi="ar-SA"/>
          <w:rtl w:val="1"/>
        </w:rPr>
        <w:t>ثانيًا، افحص الحالة الحالية للمقال. تعرض Crossmark، عند توفرها، التصحيحات والسحب والتحديثات المبلّغ عنها. وجودها وحده ليس ضمانًا، وغيابها لا يثبت بقاء العمل دون تعديل. [2]</w:t>
      </w:r>
    </w:p>
    <w:p>
      <w:pPr>
        <w:bidi w:val="1"/>
        <w:jc w:val="start"/>
      </w:pPr>
      <w:r>
        <w:rPr>
          <w:lang w:val="ar-SA" w:bidi="ar-SA"/>
          <w:rtl w:val="1"/>
        </w:rPr>
        <w:t>ثالثًا، راجع سياسة التحكيم في المجلة. تشترط DOAJ توضيح آلية ضبط الجودة للمجلات المدرجة. هذا دليل سياقي، وليس إثباتًا لصحة كل ادعاء في مقال بعينه؛ اقرأ الفقرة المرتبطة بالادعاء. [3]</w:t>
      </w:r>
    </w:p>
    <w:p>
      <w:pPr>
        <w:pStyle w:val="Heading1"/>
        <w:bidi w:val="1"/>
        <w:jc w:val="start"/>
      </w:pPr>
      <w:r>
        <w:rPr>
          <w:lang w:val="ar-SA" w:bidi="ar-SA"/>
          <w:rtl w:val="1"/>
        </w:rPr>
        <w:t>الخلاصة والحدود</w:t>
      </w:r>
    </w:p>
    <w:p>
      <w:pPr>
        <w:bidi w:val="1"/>
        <w:jc w:val="start"/>
      </w:pPr>
      <w:r>
        <w:rPr>
          <w:lang w:val="ar-SA" w:bidi="ar-SA"/>
          <w:rtl w:val="1"/>
        </w:rPr>
        <w:t>سجّل رابط المصدر وبياناته والفقرة ذات الصلة وتاريخ التحقق. وضّح أي اختلاف لم يُحسم. تحسّن هذه الخطوات قابلية التتبع، لكنها لا تضمن جودة البحث ولا تغني عن القراءة النقدية.</w:t>
      </w:r>
    </w:p>
    <w:p>
      <w:pPr>
        <w:pStyle w:val="Heading1"/>
        <w:bidi w:val="1"/>
        <w:jc w:val="start"/>
      </w:pPr>
      <w:r>
        <w:rPr>
          <w:lang w:val="ar-SA" w:bidi="ar-SA"/>
          <w:rtl w:val="1"/>
        </w:rPr>
        <w:t>المراجع</w:t>
      </w:r>
    </w:p>
    <w:p>
      <w:pPr>
        <w:spacing w:after="80"/>
      </w:pPr>
      <w:r>
        <w:rPr>
          <w:sz w:val="19"/>
        </w:rPr>
        <w:t xml:space="preserve">[1] Crossref. REST API. </w:t>
      </w:r>
      <w:hyperlink r:id="rId9">
        <w:r>
          <w:rPr>
            <w:color w:val="174B37"/>
            <w:sz w:val="19"/>
          </w:rPr>
          <w:t>https://www.crossref.org/documentation/retrieve-metadata/rest-api/</w:t>
        </w:r>
      </w:hyperlink>
    </w:p>
    <w:p>
      <w:pPr>
        <w:spacing w:after="80"/>
      </w:pPr>
      <w:r>
        <w:rPr>
          <w:sz w:val="19"/>
        </w:rPr>
        <w:t xml:space="preserve">[2] Crossref. Crossmark. </w:t>
      </w:r>
      <w:hyperlink r:id="rId10">
        <w:r>
          <w:rPr>
            <w:color w:val="174B37"/>
            <w:sz w:val="19"/>
          </w:rPr>
          <w:t>https://www.crossref.org/services/crossmark/</w:t>
        </w:r>
      </w:hyperlink>
    </w:p>
    <w:p>
      <w:pPr>
        <w:spacing w:after="80"/>
      </w:pPr>
      <w:r>
        <w:rPr>
          <w:sz w:val="19"/>
        </w:rPr>
        <w:t xml:space="preserve">[3] DOAJ. Guide to applying. </w:t>
      </w:r>
      <w:hyperlink r:id="rId11">
        <w:r>
          <w:rPr>
            <w:color w:val="174B37"/>
            <w:sz w:val="19"/>
          </w:rPr>
          <w:t>https://doaj.org/apply/guide/</w:t>
        </w:r>
      </w:hyperlink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1" w:lineRule="auto"/>
    </w:pPr>
    <w:rPr>
      <w:rFonts w:ascii="DejaVu Sans" w:hAnsi="DejaVu Sans" w:cs="DejaVu Sans" w:eastAsia="DejaVu Sans"/>
      <w:color w:val="000000"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271" w:lineRule="auto"/>
      <w:outlineLvl w:val="0"/>
    </w:pPr>
    <w:rPr>
      <w:rFonts w:ascii="DejaVu Sans" w:hAnsi="DejaVu Sans" w:cs="DejaVu Sans" w:eastAsia="DejaVu Sans"/>
      <w:b/>
      <w:bCs/>
      <w:color w:val="000000"/>
      <w:sz w:val="25"/>
      <w:szCs w:val="25"/>
      <w:bCs w:val="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71" w:lineRule="auto"/>
      <w:outlineLvl w:val="1"/>
    </w:pPr>
    <w:rPr>
      <w:rFonts w:ascii="DejaVu Sans" w:hAnsi="DejaVu Sans" w:cs="DejaVu Sans" w:eastAsia="DejaVu Sans"/>
      <w:b/>
      <w:bCs/>
      <w:color w:val="000000"/>
      <w:sz w:val="23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1" w:lineRule="auto"/>
      <w:contextualSpacing/>
    </w:pPr>
    <w:rPr>
      <w:rFonts w:ascii="DejaVu Sans" w:hAnsi="DejaVu Sans" w:cs="DejaVu Sans" w:eastAsia="DejaVu Sans"/>
      <w:b/>
      <w:color w:val="000000"/>
      <w:spacing w:val="5"/>
      <w:kern w:val="28"/>
      <w:sz w:val="44"/>
      <w:szCs w:val="44"/>
      <w:bCs w:val="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71" w:lineRule="auto"/>
    </w:pPr>
    <w:rPr>
      <w:rFonts w:ascii="DejaVu Sans" w:hAnsi="DejaVu Sans" w:cs="DejaVu Sans" w:eastAsia="DejaVu Sans"/>
      <w:i/>
      <w:iCs/>
      <w:color w:val="000000"/>
      <w:spacing w:val="15"/>
      <w:sz w:val="23"/>
      <w:szCs w:val="23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rossref.org/documentation/retrieve-metadata/rest-api/" TargetMode="External"/><Relationship Id="rId10" Type="http://schemas.openxmlformats.org/officeDocument/2006/relationships/hyperlink" Target="https://www.crossref.org/services/crossmark/" TargetMode="External"/><Relationship Id="rId11" Type="http://schemas.openxmlformats.org/officeDocument/2006/relationships/hyperlink" Target="https://doaj.org/apply/gui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التحقق من المصادر قبل الاستشهاد بها</dc:title>
  <dc:subject>Educational research draft sample</dc:subject>
  <dc:creator>Zaknor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